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388" w:rsidRPr="00100125" w:rsidRDefault="00CA1388" w:rsidP="00CA1388">
      <w:pPr>
        <w:spacing w:after="0" w:line="240" w:lineRule="auto"/>
        <w:jc w:val="center"/>
        <w:rPr>
          <w:rFonts w:asciiTheme="minorHAnsi" w:hAnsiTheme="minorHAnsi" w:cstheme="minorHAnsi"/>
          <w:b/>
          <w:sz w:val="28"/>
          <w:szCs w:val="24"/>
          <w:u w:val="single"/>
        </w:rPr>
      </w:pPr>
      <w:proofErr w:type="spellStart"/>
      <w:r w:rsidRPr="00100125">
        <w:rPr>
          <w:rFonts w:asciiTheme="minorHAnsi" w:hAnsiTheme="minorHAnsi" w:cstheme="minorHAnsi"/>
          <w:b/>
          <w:sz w:val="28"/>
          <w:szCs w:val="24"/>
          <w:u w:val="single"/>
        </w:rPr>
        <w:t>Colebourne’s</w:t>
      </w:r>
      <w:proofErr w:type="spellEnd"/>
      <w:r w:rsidRPr="00100125">
        <w:rPr>
          <w:rFonts w:asciiTheme="minorHAnsi" w:hAnsiTheme="minorHAnsi" w:cstheme="minorHAnsi"/>
          <w:b/>
          <w:sz w:val="28"/>
          <w:szCs w:val="24"/>
          <w:u w:val="single"/>
        </w:rPr>
        <w:t xml:space="preserve"> </w:t>
      </w:r>
      <w:r w:rsidR="00A530F7" w:rsidRPr="00100125">
        <w:rPr>
          <w:rFonts w:asciiTheme="minorHAnsi" w:hAnsiTheme="minorHAnsi" w:cstheme="minorHAnsi"/>
          <w:b/>
          <w:sz w:val="28"/>
          <w:szCs w:val="24"/>
          <w:u w:val="single"/>
        </w:rPr>
        <w:t>approach</w:t>
      </w:r>
      <w:r w:rsidRPr="00100125">
        <w:rPr>
          <w:rFonts w:asciiTheme="minorHAnsi" w:hAnsiTheme="minorHAnsi" w:cstheme="minorHAnsi"/>
          <w:b/>
          <w:sz w:val="28"/>
          <w:szCs w:val="24"/>
          <w:u w:val="single"/>
        </w:rPr>
        <w:t xml:space="preserve"> to </w:t>
      </w:r>
      <w:r w:rsidR="00A530F7" w:rsidRPr="00100125">
        <w:rPr>
          <w:rFonts w:asciiTheme="minorHAnsi" w:hAnsiTheme="minorHAnsi" w:cstheme="minorHAnsi"/>
          <w:b/>
          <w:sz w:val="28"/>
          <w:szCs w:val="24"/>
          <w:u w:val="single"/>
        </w:rPr>
        <w:t>pupil</w:t>
      </w:r>
      <w:r w:rsidRPr="00100125">
        <w:rPr>
          <w:rFonts w:asciiTheme="minorHAnsi" w:hAnsiTheme="minorHAnsi" w:cstheme="minorHAnsi"/>
          <w:b/>
          <w:sz w:val="28"/>
          <w:szCs w:val="24"/>
          <w:u w:val="single"/>
        </w:rPr>
        <w:t xml:space="preserve"> premium. </w:t>
      </w:r>
    </w:p>
    <w:p w:rsidR="00CA1388" w:rsidRPr="00100125" w:rsidRDefault="00CA1388" w:rsidP="00CA1388">
      <w:pPr>
        <w:spacing w:after="0" w:line="240" w:lineRule="auto"/>
        <w:rPr>
          <w:rFonts w:asciiTheme="minorHAnsi" w:hAnsiTheme="minorHAnsi" w:cstheme="minorHAnsi"/>
          <w:b/>
          <w:sz w:val="28"/>
          <w:szCs w:val="24"/>
        </w:rPr>
      </w:pPr>
    </w:p>
    <w:p w:rsidR="00CA1388" w:rsidRPr="00100125" w:rsidRDefault="00CA1388" w:rsidP="00CA1388">
      <w:pPr>
        <w:tabs>
          <w:tab w:val="left" w:pos="6249"/>
        </w:tabs>
        <w:spacing w:after="0"/>
        <w:rPr>
          <w:rFonts w:asciiTheme="minorHAnsi" w:hAnsiTheme="minorHAnsi" w:cstheme="minorHAnsi"/>
          <w:b/>
          <w:sz w:val="28"/>
          <w:szCs w:val="24"/>
        </w:rPr>
      </w:pPr>
      <w:r w:rsidRPr="00100125">
        <w:rPr>
          <w:rFonts w:asciiTheme="minorHAnsi" w:hAnsiTheme="minorHAnsi" w:cstheme="minorHAnsi"/>
          <w:b/>
          <w:sz w:val="28"/>
          <w:szCs w:val="24"/>
        </w:rPr>
        <w:t xml:space="preserve">Objectives in spending PPG: </w:t>
      </w:r>
    </w:p>
    <w:p w:rsidR="002D0397" w:rsidRPr="00100125" w:rsidRDefault="00CA1388" w:rsidP="00CA1388">
      <w:pPr>
        <w:tabs>
          <w:tab w:val="left" w:pos="6249"/>
        </w:tabs>
        <w:spacing w:after="0"/>
        <w:rPr>
          <w:rFonts w:asciiTheme="minorHAnsi" w:hAnsiTheme="minorHAnsi" w:cstheme="minorHAnsi"/>
          <w:sz w:val="28"/>
          <w:szCs w:val="24"/>
        </w:rPr>
      </w:pPr>
      <w:r w:rsidRPr="00100125">
        <w:rPr>
          <w:rFonts w:asciiTheme="minorHAnsi" w:hAnsiTheme="minorHAnsi" w:cstheme="minorHAnsi"/>
          <w:sz w:val="28"/>
          <w:szCs w:val="24"/>
        </w:rPr>
        <w:t xml:space="preserve">At Colebourne, we aim to ensure that children receive a wide range of opportunities, regardless of their background, and strive to ensure that children from disadvantaged backgrounds are given </w:t>
      </w:r>
      <w:r w:rsidR="002D0397" w:rsidRPr="00100125">
        <w:rPr>
          <w:rFonts w:asciiTheme="minorHAnsi" w:hAnsiTheme="minorHAnsi" w:cstheme="minorHAnsi"/>
          <w:sz w:val="28"/>
          <w:szCs w:val="24"/>
        </w:rPr>
        <w:t>support to enable them to close attainment gaps with other children nationally. We aim to identify barriers to learning and remove them, or minimise the impact they have on children’s learning and wellbeing.</w:t>
      </w:r>
    </w:p>
    <w:p w:rsidR="002D0397" w:rsidRPr="00100125" w:rsidRDefault="002D0397" w:rsidP="00CA1388">
      <w:pPr>
        <w:tabs>
          <w:tab w:val="left" w:pos="6249"/>
        </w:tabs>
        <w:spacing w:after="0"/>
        <w:rPr>
          <w:rFonts w:asciiTheme="minorHAnsi" w:hAnsiTheme="minorHAnsi" w:cstheme="minorHAnsi"/>
          <w:sz w:val="28"/>
          <w:szCs w:val="24"/>
        </w:rPr>
      </w:pPr>
    </w:p>
    <w:p w:rsidR="002D0397" w:rsidRPr="00100125" w:rsidRDefault="002D0397" w:rsidP="00CA1388">
      <w:pPr>
        <w:tabs>
          <w:tab w:val="left" w:pos="6249"/>
        </w:tabs>
        <w:spacing w:after="0"/>
        <w:rPr>
          <w:rFonts w:asciiTheme="minorHAnsi" w:hAnsiTheme="minorHAnsi" w:cstheme="minorHAnsi"/>
          <w:b/>
          <w:sz w:val="28"/>
          <w:szCs w:val="24"/>
        </w:rPr>
      </w:pPr>
      <w:r w:rsidRPr="00100125">
        <w:rPr>
          <w:rFonts w:asciiTheme="minorHAnsi" w:hAnsiTheme="minorHAnsi" w:cstheme="minorHAnsi"/>
          <w:b/>
          <w:sz w:val="28"/>
          <w:szCs w:val="24"/>
        </w:rPr>
        <w:t xml:space="preserve">Barriers to learning: </w:t>
      </w:r>
      <w:bookmarkStart w:id="0" w:name="_GoBack"/>
      <w:bookmarkEnd w:id="0"/>
    </w:p>
    <w:p w:rsidR="002D0397" w:rsidRPr="00100125" w:rsidRDefault="002D0397" w:rsidP="00CA1388">
      <w:pPr>
        <w:tabs>
          <w:tab w:val="left" w:pos="6249"/>
        </w:tabs>
        <w:spacing w:after="0"/>
        <w:rPr>
          <w:rFonts w:asciiTheme="minorHAnsi" w:hAnsiTheme="minorHAnsi" w:cstheme="minorHAnsi"/>
          <w:sz w:val="28"/>
          <w:szCs w:val="24"/>
        </w:rPr>
      </w:pPr>
      <w:r w:rsidRPr="00100125">
        <w:rPr>
          <w:rFonts w:asciiTheme="minorHAnsi" w:hAnsiTheme="minorHAnsi" w:cstheme="minorHAnsi"/>
          <w:sz w:val="28"/>
          <w:szCs w:val="24"/>
        </w:rPr>
        <w:t>We have identified the following as the most significant and prevalent barriers to learning for PPE children:</w:t>
      </w:r>
    </w:p>
    <w:p w:rsidR="002D0397" w:rsidRPr="00100125" w:rsidRDefault="002D0397" w:rsidP="00D37149">
      <w:pPr>
        <w:pStyle w:val="ListParagraph"/>
        <w:numPr>
          <w:ilvl w:val="0"/>
          <w:numId w:val="4"/>
        </w:numPr>
        <w:tabs>
          <w:tab w:val="left" w:pos="6249"/>
        </w:tabs>
        <w:spacing w:after="0"/>
        <w:rPr>
          <w:rFonts w:asciiTheme="minorHAnsi" w:hAnsiTheme="minorHAnsi" w:cstheme="minorHAnsi"/>
          <w:sz w:val="28"/>
          <w:szCs w:val="24"/>
        </w:rPr>
      </w:pPr>
      <w:r w:rsidRPr="00100125">
        <w:rPr>
          <w:rFonts w:asciiTheme="minorHAnsi" w:hAnsiTheme="minorHAnsi" w:cstheme="minorHAnsi"/>
          <w:sz w:val="28"/>
          <w:szCs w:val="24"/>
        </w:rPr>
        <w:t xml:space="preserve">Low prior attainment, relative to non-PPE children. </w:t>
      </w:r>
    </w:p>
    <w:p w:rsidR="002D0397" w:rsidRPr="00100125" w:rsidRDefault="002D0397" w:rsidP="00D37149">
      <w:pPr>
        <w:pStyle w:val="ListParagraph"/>
        <w:numPr>
          <w:ilvl w:val="0"/>
          <w:numId w:val="4"/>
        </w:numPr>
        <w:tabs>
          <w:tab w:val="left" w:pos="6249"/>
        </w:tabs>
        <w:spacing w:after="0"/>
        <w:rPr>
          <w:rFonts w:asciiTheme="minorHAnsi" w:hAnsiTheme="minorHAnsi" w:cstheme="minorHAnsi"/>
          <w:sz w:val="28"/>
          <w:szCs w:val="24"/>
        </w:rPr>
      </w:pPr>
      <w:r w:rsidRPr="00100125">
        <w:rPr>
          <w:rFonts w:asciiTheme="minorHAnsi" w:hAnsiTheme="minorHAnsi" w:cstheme="minorHAnsi"/>
          <w:sz w:val="28"/>
          <w:szCs w:val="24"/>
        </w:rPr>
        <w:t xml:space="preserve">A lack of opportunities to support learning in the home environment. </w:t>
      </w:r>
    </w:p>
    <w:p w:rsidR="002D0397" w:rsidRPr="00100125" w:rsidRDefault="002D0397" w:rsidP="00D37149">
      <w:pPr>
        <w:pStyle w:val="ListParagraph"/>
        <w:numPr>
          <w:ilvl w:val="0"/>
          <w:numId w:val="4"/>
        </w:numPr>
        <w:tabs>
          <w:tab w:val="left" w:pos="6249"/>
        </w:tabs>
        <w:spacing w:after="0"/>
        <w:rPr>
          <w:rFonts w:asciiTheme="minorHAnsi" w:hAnsiTheme="minorHAnsi" w:cstheme="minorHAnsi"/>
          <w:sz w:val="28"/>
          <w:szCs w:val="24"/>
        </w:rPr>
      </w:pPr>
      <w:r w:rsidRPr="00100125">
        <w:rPr>
          <w:rFonts w:asciiTheme="minorHAnsi" w:hAnsiTheme="minorHAnsi" w:cstheme="minorHAnsi"/>
          <w:sz w:val="28"/>
          <w:szCs w:val="24"/>
        </w:rPr>
        <w:t xml:space="preserve">A range of difficult circumstances, either historical or current, leading to different issues, including emotional concerns and poor mental health. </w:t>
      </w:r>
    </w:p>
    <w:p w:rsidR="002D0397" w:rsidRPr="00100125" w:rsidRDefault="002D0397" w:rsidP="00D37149">
      <w:pPr>
        <w:pStyle w:val="ListParagraph"/>
        <w:numPr>
          <w:ilvl w:val="0"/>
          <w:numId w:val="4"/>
        </w:numPr>
        <w:tabs>
          <w:tab w:val="left" w:pos="6249"/>
        </w:tabs>
        <w:spacing w:after="0"/>
        <w:rPr>
          <w:rFonts w:asciiTheme="minorHAnsi" w:hAnsiTheme="minorHAnsi" w:cstheme="minorHAnsi"/>
          <w:sz w:val="28"/>
          <w:szCs w:val="24"/>
        </w:rPr>
      </w:pPr>
      <w:r w:rsidRPr="00100125">
        <w:rPr>
          <w:rFonts w:asciiTheme="minorHAnsi" w:hAnsiTheme="minorHAnsi" w:cstheme="minorHAnsi"/>
          <w:sz w:val="28"/>
          <w:szCs w:val="24"/>
        </w:rPr>
        <w:t>A lack of opportunities to gain a wide range of life experiences.</w:t>
      </w:r>
    </w:p>
    <w:p w:rsidR="002D0397" w:rsidRPr="00100125" w:rsidRDefault="002D0397" w:rsidP="00D37149">
      <w:pPr>
        <w:pStyle w:val="ListParagraph"/>
        <w:numPr>
          <w:ilvl w:val="0"/>
          <w:numId w:val="4"/>
        </w:numPr>
        <w:shd w:val="clear" w:color="auto" w:fill="FFFFFF" w:themeFill="background1"/>
        <w:spacing w:after="0" w:line="375" w:lineRule="atLeast"/>
        <w:rPr>
          <w:rFonts w:asciiTheme="minorHAnsi" w:eastAsia="Times New Roman" w:hAnsiTheme="minorHAnsi" w:cstheme="minorHAnsi"/>
          <w:sz w:val="24"/>
          <w:szCs w:val="23"/>
          <w:lang w:eastAsia="en-GB"/>
        </w:rPr>
      </w:pPr>
      <w:r w:rsidRPr="00100125">
        <w:rPr>
          <w:rFonts w:asciiTheme="minorHAnsi" w:eastAsia="Times New Roman" w:hAnsiTheme="minorHAnsi" w:cstheme="minorHAnsi"/>
          <w:sz w:val="28"/>
          <w:szCs w:val="24"/>
          <w:lang w:eastAsia="en-GB"/>
        </w:rPr>
        <w:t>Social and emotional issues resulting in low confidence and self-esteem.</w:t>
      </w:r>
    </w:p>
    <w:p w:rsidR="002D0397" w:rsidRPr="00100125" w:rsidRDefault="002D0397" w:rsidP="00D37149">
      <w:pPr>
        <w:pStyle w:val="ListParagraph"/>
        <w:numPr>
          <w:ilvl w:val="0"/>
          <w:numId w:val="4"/>
        </w:numPr>
        <w:shd w:val="clear" w:color="auto" w:fill="FFFFFF" w:themeFill="background1"/>
        <w:spacing w:after="0" w:line="375" w:lineRule="atLeast"/>
        <w:rPr>
          <w:rFonts w:asciiTheme="minorHAnsi" w:eastAsia="Times New Roman" w:hAnsiTheme="minorHAnsi" w:cstheme="minorHAnsi"/>
          <w:sz w:val="24"/>
          <w:szCs w:val="23"/>
          <w:lang w:eastAsia="en-GB"/>
        </w:rPr>
      </w:pPr>
      <w:r w:rsidRPr="00100125">
        <w:rPr>
          <w:rFonts w:asciiTheme="minorHAnsi" w:eastAsia="Times New Roman" w:hAnsiTheme="minorHAnsi" w:cstheme="minorHAnsi"/>
          <w:sz w:val="28"/>
          <w:szCs w:val="24"/>
          <w:lang w:eastAsia="en-GB"/>
        </w:rPr>
        <w:t>Attendance: Some children’s attendance is low which will impact on their learning.</w:t>
      </w:r>
    </w:p>
    <w:p w:rsidR="00D37149" w:rsidRPr="00100125" w:rsidRDefault="002D0397" w:rsidP="00D37149">
      <w:pPr>
        <w:pStyle w:val="ListParagraph"/>
        <w:numPr>
          <w:ilvl w:val="0"/>
          <w:numId w:val="4"/>
        </w:numPr>
        <w:shd w:val="clear" w:color="auto" w:fill="FFFFFF" w:themeFill="background1"/>
        <w:spacing w:after="0" w:line="240" w:lineRule="auto"/>
        <w:rPr>
          <w:rFonts w:asciiTheme="minorHAnsi" w:eastAsia="Times New Roman" w:hAnsiTheme="minorHAnsi" w:cstheme="minorHAnsi"/>
          <w:sz w:val="24"/>
          <w:szCs w:val="23"/>
          <w:lang w:eastAsia="en-GB"/>
        </w:rPr>
      </w:pPr>
      <w:r w:rsidRPr="00100125">
        <w:rPr>
          <w:rFonts w:asciiTheme="minorHAnsi" w:eastAsia="Times New Roman" w:hAnsiTheme="minorHAnsi" w:cstheme="minorHAnsi"/>
          <w:sz w:val="28"/>
          <w:szCs w:val="24"/>
          <w:lang w:eastAsia="en-GB"/>
        </w:rPr>
        <w:t>Trauma and other mental health issues in the family and/or child</w:t>
      </w:r>
    </w:p>
    <w:p w:rsidR="002D0397" w:rsidRPr="00100125" w:rsidRDefault="002D0397" w:rsidP="00D37149">
      <w:pPr>
        <w:pStyle w:val="ListParagraph"/>
        <w:numPr>
          <w:ilvl w:val="0"/>
          <w:numId w:val="4"/>
        </w:numPr>
        <w:shd w:val="clear" w:color="auto" w:fill="FFFFFF" w:themeFill="background1"/>
        <w:spacing w:after="0" w:line="240" w:lineRule="auto"/>
        <w:rPr>
          <w:rFonts w:asciiTheme="minorHAnsi" w:eastAsia="Times New Roman" w:hAnsiTheme="minorHAnsi" w:cstheme="minorHAnsi"/>
          <w:sz w:val="24"/>
          <w:szCs w:val="23"/>
          <w:lang w:eastAsia="en-GB"/>
        </w:rPr>
      </w:pPr>
      <w:r w:rsidRPr="00100125">
        <w:rPr>
          <w:rFonts w:asciiTheme="minorHAnsi" w:eastAsia="Times New Roman" w:hAnsiTheme="minorHAnsi" w:cstheme="minorHAnsi"/>
          <w:sz w:val="28"/>
          <w:szCs w:val="24"/>
          <w:lang w:eastAsia="en-GB"/>
        </w:rPr>
        <w:t>Special educational needs and disabilities</w:t>
      </w:r>
    </w:p>
    <w:p w:rsidR="002D0397" w:rsidRPr="00100125" w:rsidRDefault="002D0397" w:rsidP="00CA1388">
      <w:pPr>
        <w:tabs>
          <w:tab w:val="left" w:pos="6249"/>
        </w:tabs>
        <w:spacing w:after="0"/>
        <w:rPr>
          <w:rFonts w:asciiTheme="minorHAnsi" w:hAnsiTheme="minorHAnsi" w:cstheme="minorHAnsi"/>
          <w:b/>
          <w:sz w:val="28"/>
          <w:szCs w:val="24"/>
        </w:rPr>
      </w:pPr>
    </w:p>
    <w:p w:rsidR="00CA1388" w:rsidRPr="00100125" w:rsidRDefault="00CA1388" w:rsidP="00CA1388">
      <w:pPr>
        <w:tabs>
          <w:tab w:val="left" w:pos="6249"/>
        </w:tabs>
        <w:spacing w:after="0"/>
        <w:rPr>
          <w:rFonts w:asciiTheme="minorHAnsi" w:hAnsiTheme="minorHAnsi" w:cstheme="minorHAnsi"/>
          <w:b/>
          <w:sz w:val="28"/>
          <w:szCs w:val="24"/>
        </w:rPr>
      </w:pPr>
      <w:r w:rsidRPr="00100125">
        <w:rPr>
          <w:rFonts w:asciiTheme="minorHAnsi" w:hAnsiTheme="minorHAnsi" w:cstheme="minorHAnsi"/>
          <w:b/>
          <w:sz w:val="28"/>
          <w:szCs w:val="24"/>
        </w:rPr>
        <w:t xml:space="preserve">Nature of Support: </w:t>
      </w:r>
    </w:p>
    <w:p w:rsidR="00CA1388" w:rsidRPr="00100125" w:rsidRDefault="00CA1388" w:rsidP="00CA1388">
      <w:pPr>
        <w:tabs>
          <w:tab w:val="left" w:pos="6249"/>
        </w:tabs>
        <w:spacing w:after="0"/>
        <w:rPr>
          <w:rFonts w:asciiTheme="minorHAnsi" w:hAnsiTheme="minorHAnsi" w:cstheme="minorHAnsi"/>
          <w:sz w:val="28"/>
          <w:szCs w:val="24"/>
        </w:rPr>
      </w:pPr>
      <w:r w:rsidRPr="00100125">
        <w:rPr>
          <w:rFonts w:asciiTheme="minorHAnsi" w:hAnsiTheme="minorHAnsi" w:cstheme="minorHAnsi"/>
          <w:sz w:val="28"/>
          <w:szCs w:val="24"/>
        </w:rPr>
        <w:t>We track all children’s academic performance, barriers to learning and physical and emotional needs. We also identify any aspects of trauma history which may affect them now or in the future.  This along with close partnership with parents enables us to be in a good position to offer support to all children when it is needed.</w:t>
      </w:r>
    </w:p>
    <w:p w:rsidR="00CA1388" w:rsidRPr="00100125" w:rsidRDefault="00CA1388" w:rsidP="00CA1388">
      <w:pPr>
        <w:tabs>
          <w:tab w:val="left" w:pos="6249"/>
        </w:tabs>
        <w:spacing w:after="0"/>
        <w:rPr>
          <w:rFonts w:asciiTheme="minorHAnsi" w:hAnsiTheme="minorHAnsi" w:cstheme="minorHAnsi"/>
          <w:sz w:val="28"/>
          <w:szCs w:val="24"/>
        </w:rPr>
      </w:pPr>
      <w:r w:rsidRPr="00100125">
        <w:rPr>
          <w:rFonts w:asciiTheme="minorHAnsi" w:hAnsiTheme="minorHAnsi" w:cstheme="minorHAnsi"/>
          <w:sz w:val="28"/>
          <w:szCs w:val="24"/>
        </w:rPr>
        <w:t>We run a PATHs programme to help build children emotional resilience. Staff are tr</w:t>
      </w:r>
      <w:r w:rsidR="00D37149" w:rsidRPr="00100125">
        <w:rPr>
          <w:rFonts w:asciiTheme="minorHAnsi" w:hAnsiTheme="minorHAnsi" w:cstheme="minorHAnsi"/>
          <w:sz w:val="28"/>
          <w:szCs w:val="24"/>
        </w:rPr>
        <w:t>ained on areas such as i</w:t>
      </w:r>
      <w:r w:rsidRPr="00100125">
        <w:rPr>
          <w:rFonts w:asciiTheme="minorHAnsi" w:hAnsiTheme="minorHAnsi" w:cstheme="minorHAnsi"/>
          <w:sz w:val="28"/>
          <w:szCs w:val="24"/>
        </w:rPr>
        <w:t xml:space="preserve">nclusive practises in teaching, compassionate approaches to the management of behaviour and the detailed understanding of attachment difficulties. </w:t>
      </w:r>
    </w:p>
    <w:p w:rsidR="00CA1388" w:rsidRPr="00100125" w:rsidRDefault="00CA1388" w:rsidP="00CA1388">
      <w:pPr>
        <w:tabs>
          <w:tab w:val="left" w:pos="6249"/>
        </w:tabs>
        <w:spacing w:after="0"/>
        <w:rPr>
          <w:rFonts w:asciiTheme="minorHAnsi" w:hAnsiTheme="minorHAnsi" w:cstheme="minorHAnsi"/>
          <w:sz w:val="28"/>
          <w:szCs w:val="24"/>
        </w:rPr>
      </w:pPr>
      <w:r w:rsidRPr="00100125">
        <w:rPr>
          <w:rFonts w:asciiTheme="minorHAnsi" w:hAnsiTheme="minorHAnsi" w:cstheme="minorHAnsi"/>
          <w:sz w:val="28"/>
          <w:szCs w:val="24"/>
        </w:rPr>
        <w:t xml:space="preserve">We have an ethos of looking beyond the behaviour in order to identify support. We recognise that without the emotional and nurture support, children with additional needs do not perform well. It is through our approach that enables these children to perform as well as possible. </w:t>
      </w:r>
    </w:p>
    <w:p w:rsidR="00CA1388" w:rsidRPr="00100125" w:rsidRDefault="00CA1388" w:rsidP="00CA1388">
      <w:pPr>
        <w:tabs>
          <w:tab w:val="left" w:pos="6249"/>
        </w:tabs>
        <w:spacing w:after="0"/>
        <w:rPr>
          <w:rFonts w:asciiTheme="minorHAnsi" w:hAnsiTheme="minorHAnsi" w:cstheme="minorHAnsi"/>
          <w:sz w:val="28"/>
          <w:szCs w:val="24"/>
        </w:rPr>
      </w:pPr>
      <w:r w:rsidRPr="00100125">
        <w:rPr>
          <w:rFonts w:asciiTheme="minorHAnsi" w:hAnsiTheme="minorHAnsi" w:cstheme="minorHAnsi"/>
          <w:sz w:val="28"/>
          <w:szCs w:val="24"/>
        </w:rPr>
        <w:lastRenderedPageBreak/>
        <w:t xml:space="preserve">We treat Pupil Premium as a vital part of our strategy to support vulnerable children and those with additional needs. </w:t>
      </w:r>
    </w:p>
    <w:p w:rsidR="00CA1388" w:rsidRPr="00100125" w:rsidRDefault="00CA1388" w:rsidP="00CA1388">
      <w:pPr>
        <w:tabs>
          <w:tab w:val="left" w:pos="6249"/>
        </w:tabs>
        <w:spacing w:after="0"/>
        <w:rPr>
          <w:rFonts w:asciiTheme="minorHAnsi" w:hAnsiTheme="minorHAnsi" w:cstheme="minorHAnsi"/>
          <w:sz w:val="28"/>
          <w:szCs w:val="24"/>
        </w:rPr>
      </w:pPr>
      <w:r w:rsidRPr="00100125">
        <w:rPr>
          <w:rFonts w:asciiTheme="minorHAnsi" w:hAnsiTheme="minorHAnsi" w:cstheme="minorHAnsi"/>
          <w:sz w:val="28"/>
          <w:szCs w:val="24"/>
        </w:rPr>
        <w:t>We offer our children a range of specific support including:</w:t>
      </w:r>
    </w:p>
    <w:p w:rsidR="00CA1388" w:rsidRPr="00100125" w:rsidRDefault="00CA1388" w:rsidP="00CA1388">
      <w:pPr>
        <w:pStyle w:val="ListParagraph"/>
        <w:numPr>
          <w:ilvl w:val="0"/>
          <w:numId w:val="1"/>
        </w:numPr>
        <w:tabs>
          <w:tab w:val="left" w:pos="6249"/>
        </w:tabs>
        <w:spacing w:after="0"/>
        <w:rPr>
          <w:rFonts w:asciiTheme="minorHAnsi" w:hAnsiTheme="minorHAnsi" w:cstheme="minorHAnsi"/>
          <w:sz w:val="28"/>
          <w:szCs w:val="24"/>
        </w:rPr>
      </w:pPr>
      <w:r w:rsidRPr="00100125">
        <w:rPr>
          <w:rFonts w:asciiTheme="minorHAnsi" w:hAnsiTheme="minorHAnsi" w:cstheme="minorHAnsi"/>
          <w:sz w:val="28"/>
          <w:szCs w:val="24"/>
        </w:rPr>
        <w:t xml:space="preserve">Quality first teaching, we run many intervention groups in designated spaces that are conducive to children’s learning.  </w:t>
      </w:r>
    </w:p>
    <w:p w:rsidR="00CA1388" w:rsidRPr="00100125" w:rsidRDefault="00CA1388" w:rsidP="00CA1388">
      <w:pPr>
        <w:pStyle w:val="ListParagraph"/>
        <w:numPr>
          <w:ilvl w:val="0"/>
          <w:numId w:val="1"/>
        </w:numPr>
        <w:tabs>
          <w:tab w:val="left" w:pos="6249"/>
        </w:tabs>
        <w:spacing w:after="0"/>
        <w:rPr>
          <w:rFonts w:asciiTheme="minorHAnsi" w:hAnsiTheme="minorHAnsi" w:cstheme="minorHAnsi"/>
          <w:sz w:val="28"/>
          <w:szCs w:val="24"/>
        </w:rPr>
      </w:pPr>
      <w:r w:rsidRPr="00100125">
        <w:rPr>
          <w:rFonts w:asciiTheme="minorHAnsi" w:hAnsiTheme="minorHAnsi" w:cstheme="minorHAnsi"/>
          <w:sz w:val="28"/>
          <w:szCs w:val="24"/>
        </w:rPr>
        <w:t xml:space="preserve">Read, Write </w:t>
      </w:r>
      <w:proofErr w:type="spellStart"/>
      <w:r w:rsidRPr="00100125">
        <w:rPr>
          <w:rFonts w:asciiTheme="minorHAnsi" w:hAnsiTheme="minorHAnsi" w:cstheme="minorHAnsi"/>
          <w:sz w:val="28"/>
          <w:szCs w:val="24"/>
        </w:rPr>
        <w:t>Inc</w:t>
      </w:r>
      <w:proofErr w:type="spellEnd"/>
      <w:r w:rsidRPr="00100125">
        <w:rPr>
          <w:rFonts w:asciiTheme="minorHAnsi" w:hAnsiTheme="minorHAnsi" w:cstheme="minorHAnsi"/>
          <w:sz w:val="28"/>
          <w:szCs w:val="24"/>
        </w:rPr>
        <w:t xml:space="preserve"> programme to help children with their early phonics, reading and writing, and we continue to support the development of this programme financially.  </w:t>
      </w:r>
    </w:p>
    <w:p w:rsidR="00CA1388" w:rsidRPr="00100125" w:rsidRDefault="00CA1388" w:rsidP="00CA1388">
      <w:pPr>
        <w:pStyle w:val="ListParagraph"/>
        <w:numPr>
          <w:ilvl w:val="0"/>
          <w:numId w:val="1"/>
        </w:numPr>
        <w:tabs>
          <w:tab w:val="left" w:pos="6249"/>
        </w:tabs>
        <w:spacing w:after="0"/>
        <w:rPr>
          <w:rFonts w:asciiTheme="minorHAnsi" w:hAnsiTheme="minorHAnsi" w:cstheme="minorHAnsi"/>
          <w:sz w:val="28"/>
          <w:szCs w:val="24"/>
        </w:rPr>
      </w:pPr>
      <w:r w:rsidRPr="00100125">
        <w:rPr>
          <w:rFonts w:asciiTheme="minorHAnsi" w:hAnsiTheme="minorHAnsi" w:cstheme="minorHAnsi"/>
          <w:sz w:val="28"/>
          <w:szCs w:val="24"/>
        </w:rPr>
        <w:t>Emotional wellbeing support - we invest heavily in Learning Mentor support and family support work, including providing English lessons for parents learning English as an additional language</w:t>
      </w:r>
    </w:p>
    <w:p w:rsidR="00CA1388" w:rsidRPr="00100125" w:rsidRDefault="00CA1388" w:rsidP="00CA1388">
      <w:pPr>
        <w:pStyle w:val="ListParagraph"/>
        <w:numPr>
          <w:ilvl w:val="0"/>
          <w:numId w:val="1"/>
        </w:numPr>
        <w:tabs>
          <w:tab w:val="left" w:pos="6249"/>
        </w:tabs>
        <w:spacing w:after="0"/>
        <w:rPr>
          <w:rFonts w:asciiTheme="minorHAnsi" w:hAnsiTheme="minorHAnsi" w:cstheme="minorHAnsi"/>
          <w:sz w:val="28"/>
          <w:szCs w:val="24"/>
        </w:rPr>
      </w:pPr>
      <w:r w:rsidRPr="00100125">
        <w:rPr>
          <w:rFonts w:asciiTheme="minorHAnsi" w:hAnsiTheme="minorHAnsi" w:cstheme="minorHAnsi"/>
          <w:sz w:val="28"/>
          <w:szCs w:val="24"/>
        </w:rPr>
        <w:t xml:space="preserve">Family Support Workers and external providers for pupil and family support enable us to support the wider family and ensure appropriate support is in place. </w:t>
      </w:r>
    </w:p>
    <w:p w:rsidR="00CA1388" w:rsidRPr="00100125" w:rsidRDefault="00CA1388" w:rsidP="00CA1388">
      <w:pPr>
        <w:tabs>
          <w:tab w:val="left" w:pos="6249"/>
        </w:tabs>
        <w:spacing w:after="0"/>
        <w:rPr>
          <w:rFonts w:asciiTheme="minorHAnsi" w:hAnsiTheme="minorHAnsi" w:cstheme="minorHAnsi"/>
          <w:b/>
          <w:sz w:val="28"/>
          <w:szCs w:val="24"/>
        </w:rPr>
      </w:pPr>
    </w:p>
    <w:p w:rsidR="005B2A6C" w:rsidRPr="00100125" w:rsidRDefault="005B2A6C">
      <w:pPr>
        <w:rPr>
          <w:rFonts w:asciiTheme="minorHAnsi" w:hAnsiTheme="minorHAnsi" w:cstheme="minorHAnsi"/>
          <w:sz w:val="28"/>
          <w:szCs w:val="24"/>
        </w:rPr>
      </w:pPr>
    </w:p>
    <w:sectPr w:rsidR="005B2A6C" w:rsidRPr="00100125" w:rsidSect="002D039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6100"/>
    <w:multiLevelType w:val="multilevel"/>
    <w:tmpl w:val="1754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D2927"/>
    <w:multiLevelType w:val="hybridMultilevel"/>
    <w:tmpl w:val="8AA6A0F4"/>
    <w:lvl w:ilvl="0" w:tplc="37B0A1F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6A5D"/>
    <w:multiLevelType w:val="multilevel"/>
    <w:tmpl w:val="74C2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221F2F"/>
    <w:multiLevelType w:val="hybridMultilevel"/>
    <w:tmpl w:val="F40A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88"/>
    <w:rsid w:val="00100125"/>
    <w:rsid w:val="002D0397"/>
    <w:rsid w:val="00432204"/>
    <w:rsid w:val="005B2A6C"/>
    <w:rsid w:val="007017D8"/>
    <w:rsid w:val="00A530F7"/>
    <w:rsid w:val="00AE35D2"/>
    <w:rsid w:val="00CA1388"/>
    <w:rsid w:val="00D37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1CA06-1604-40D2-A79C-A4BAA3B9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388"/>
    <w:pPr>
      <w:spacing w:after="200" w:line="276"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388"/>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10012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0125"/>
    <w:rPr>
      <w:rFonts w:ascii="Segoe UI" w:eastAsia="Calibri" w:hAnsi="Segoe UI"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04029">
      <w:bodyDiv w:val="1"/>
      <w:marLeft w:val="0"/>
      <w:marRight w:val="0"/>
      <w:marTop w:val="0"/>
      <w:marBottom w:val="0"/>
      <w:divBdr>
        <w:top w:val="none" w:sz="0" w:space="0" w:color="auto"/>
        <w:left w:val="none" w:sz="0" w:space="0" w:color="auto"/>
        <w:bottom w:val="none" w:sz="0" w:space="0" w:color="auto"/>
        <w:right w:val="none" w:sz="0" w:space="0" w:color="auto"/>
      </w:divBdr>
    </w:div>
    <w:div w:id="6679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Coles</dc:creator>
  <cp:keywords/>
  <dc:description/>
  <cp:lastModifiedBy>Stuart Guest</cp:lastModifiedBy>
  <cp:revision>5</cp:revision>
  <cp:lastPrinted>2019-05-02T06:22:00Z</cp:lastPrinted>
  <dcterms:created xsi:type="dcterms:W3CDTF">2019-04-03T14:18:00Z</dcterms:created>
  <dcterms:modified xsi:type="dcterms:W3CDTF">2019-05-02T06:23:00Z</dcterms:modified>
</cp:coreProperties>
</file>